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Cs/>
          <w:i/>
          <w:lang w:val="en-GB"/>
        </w:rPr>
      </w:pPr>
      <w:r>
        <w:rPr>
          <w:bCs/>
          <w:i/>
          <w:lang w:val="en-GB"/>
        </w:rPr>
        <w:t>Gräni Christoph (</w:t>
      </w:r>
      <w:hyperlink r:id="rId7" w:history="1">
        <w:r>
          <w:rPr>
            <w:rStyle w:val="Hyperlink"/>
            <w:bCs/>
            <w:i/>
            <w:lang w:val="en-GB"/>
          </w:rPr>
          <w:t>christoph.graeni@insel.ch</w:t>
        </w:r>
      </w:hyperlink>
      <w:r>
        <w:rPr>
          <w:bCs/>
          <w:i/>
          <w:lang w:val="en-GB"/>
        </w:rPr>
        <w:t xml:space="preserve">) </w:t>
      </w:r>
    </w:p>
    <w:p>
      <w:pPr>
        <w:rPr>
          <w:b/>
          <w:bCs/>
        </w:rPr>
      </w:pPr>
      <w:r>
        <w:rPr>
          <w:b/>
          <w:bCs/>
        </w:rPr>
        <w:t>Titel: Stellenwert des Koronar-CTs und der funktionellen Bildgebung bei der Abklärung der KHK</w:t>
      </w:r>
    </w:p>
    <w:p>
      <w:pPr>
        <w:numPr>
          <w:ilvl w:val="0"/>
          <w:numId w:val="1"/>
        </w:numPr>
        <w:spacing w:line="240" w:lineRule="auto"/>
      </w:pPr>
      <w:r>
        <w:rPr>
          <w:b/>
          <w:bCs/>
        </w:rPr>
        <w:t>Abklärung von stabilen Thoraxschmerzen: nichtinvasive Bildgebung</w:t>
      </w:r>
    </w:p>
    <w:p>
      <w:pPr>
        <w:numPr>
          <w:ilvl w:val="1"/>
          <w:numId w:val="1"/>
        </w:numPr>
        <w:spacing w:line="240" w:lineRule="auto"/>
      </w:pPr>
      <w:r>
        <w:t xml:space="preserve">Eher tiefe </w:t>
      </w:r>
      <w:proofErr w:type="spellStart"/>
      <w:r>
        <w:t>Likelihood</w:t>
      </w:r>
      <w:proofErr w:type="spellEnd"/>
      <w:r>
        <w:rPr>
          <w:lang w:val="en-GB"/>
        </w:rPr>
        <w:sym w:font="Wingdings" w:char="F0E0"/>
      </w:r>
      <w:r>
        <w:t xml:space="preserve"> Koronar-CT</w:t>
      </w:r>
    </w:p>
    <w:p>
      <w:pPr>
        <w:numPr>
          <w:ilvl w:val="1"/>
          <w:numId w:val="1"/>
        </w:numPr>
        <w:spacing w:line="240" w:lineRule="auto"/>
      </w:pPr>
      <w:r>
        <w:t xml:space="preserve">Eher </w:t>
      </w:r>
      <w:proofErr w:type="spellStart"/>
      <w:r>
        <w:t>intermdiäre</w:t>
      </w:r>
      <w:proofErr w:type="spellEnd"/>
      <w:r>
        <w:t xml:space="preserve"> </w:t>
      </w:r>
      <w:proofErr w:type="spellStart"/>
      <w:r>
        <w:t>Likelihood</w:t>
      </w:r>
      <w:proofErr w:type="spellEnd"/>
      <w:r>
        <w:t xml:space="preserve"> oder bekannte KHK</w:t>
      </w:r>
      <w:r>
        <w:rPr>
          <w:lang w:val="en-GB"/>
        </w:rPr>
        <w:sym w:font="Wingdings" w:char="F0E0"/>
      </w:r>
      <w:r>
        <w:t xml:space="preserve"> funktioneller Test</w:t>
      </w:r>
    </w:p>
    <w:p>
      <w:pPr>
        <w:numPr>
          <w:ilvl w:val="1"/>
          <w:numId w:val="1"/>
        </w:numPr>
        <w:spacing w:line="240" w:lineRule="auto"/>
      </w:pPr>
      <w:r>
        <w:t>Wahl des Tests richtet sich nach Ko-</w:t>
      </w:r>
      <w:proofErr w:type="spellStart"/>
      <w:r>
        <w:t>Morbiditäten</w:t>
      </w:r>
      <w:proofErr w:type="spellEnd"/>
      <w:r>
        <w:t xml:space="preserve"> + Expertise des Untersuchers/ Zentrums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</w:pPr>
      <w:proofErr w:type="spellStart"/>
      <w:r>
        <w:rPr>
          <w:b/>
          <w:bCs/>
          <w:lang w:val="en-GB"/>
        </w:rPr>
        <w:t>Asymptomatische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Patienten</w:t>
      </w:r>
      <w:proofErr w:type="spellEnd"/>
      <w:r>
        <w:rPr>
          <w:b/>
          <w:bCs/>
          <w:lang w:val="en-GB"/>
        </w:rPr>
        <w:t>:</w:t>
      </w:r>
    </w:p>
    <w:p>
      <w:pPr>
        <w:numPr>
          <w:ilvl w:val="1"/>
          <w:numId w:val="1"/>
        </w:numPr>
        <w:spacing w:line="240" w:lineRule="auto"/>
      </w:pPr>
      <w:r>
        <w:t>Risikostratifizierung ab 40 Jahren nach ESC Guidelines (SCORE)</w:t>
      </w:r>
    </w:p>
    <w:p>
      <w:pPr>
        <w:numPr>
          <w:ilvl w:val="1"/>
          <w:numId w:val="1"/>
        </w:numPr>
        <w:spacing w:line="240" w:lineRule="auto"/>
      </w:pPr>
      <w:r>
        <w:t>Kalziumscore oder Koronar-CT bei selektionierten intermediär-höher Risiko Patienten</w:t>
      </w:r>
    </w:p>
    <w:p>
      <w:r>
        <w:rPr>
          <w:noProof/>
          <w:lang w:eastAsia="de-CH"/>
        </w:rPr>
        <w:drawing>
          <wp:inline distT="0" distB="0" distL="0" distR="0">
            <wp:extent cx="5657850" cy="2795871"/>
            <wp:effectExtent l="19050" t="19050" r="19050" b="2413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6218" cy="2800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Theme="minorHAnsi" w:hAnsiTheme="minorHAnsi" w:cstheme="minorHAnsi"/>
          <w:b/>
          <w:color w:val="00B0F0"/>
          <w:sz w:val="28"/>
        </w:rPr>
      </w:pPr>
      <w:r>
        <w:rPr>
          <w:rFonts w:asciiTheme="minorHAnsi" w:hAnsiTheme="minorHAnsi" w:cstheme="minorHAnsi"/>
          <w:b/>
          <w:color w:val="00B0F0"/>
          <w:sz w:val="28"/>
        </w:rPr>
        <w:t>Vor und Nachteile der verschiedenen Tests</w:t>
      </w:r>
    </w:p>
    <w:p>
      <w:r>
        <w:rPr>
          <w:noProof/>
          <w:lang w:eastAsia="de-CH"/>
        </w:rPr>
        <w:drawing>
          <wp:inline distT="0" distB="0" distL="0" distR="0">
            <wp:extent cx="5760720" cy="2555240"/>
            <wp:effectExtent l="19050" t="19050" r="11430" b="165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954"/>
                    <a:stretch/>
                  </pic:blipFill>
                  <pic:spPr bwMode="auto">
                    <a:xfrm>
                      <a:off x="0" y="0"/>
                      <a:ext cx="5760720" cy="25552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bCs/>
        <w:sz w:val="32"/>
      </w:rPr>
    </w:pPr>
    <w:r>
      <w:rPr>
        <w:bCs/>
        <w:sz w:val="32"/>
      </w:rPr>
      <w:t xml:space="preserve">Handout Fortbildung vom 17. Juni 2021 Privatklinik </w:t>
    </w:r>
    <w:proofErr w:type="spellStart"/>
    <w:r>
      <w:rPr>
        <w:bCs/>
        <w:sz w:val="32"/>
      </w:rPr>
      <w:t>Obach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3C25"/>
    <w:multiLevelType w:val="hybridMultilevel"/>
    <w:tmpl w:val="334C63C8"/>
    <w:lvl w:ilvl="0" w:tplc="4A5AB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87FE6">
      <w:start w:val="127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E2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7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E1D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41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4AF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AF1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22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FBCB0-F596-498D-ABCE-6714D90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628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770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0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63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89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3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664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461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ristoph.graeni@inse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Gräni, Christoph</dc:creator>
  <cp:keywords/>
  <dc:description/>
  <cp:lastModifiedBy>Gräni, Christoph</cp:lastModifiedBy>
  <cp:revision>1</cp:revision>
  <dcterms:created xsi:type="dcterms:W3CDTF">2021-06-16T18:37:00Z</dcterms:created>
  <dcterms:modified xsi:type="dcterms:W3CDTF">2021-06-16T18:50:00Z</dcterms:modified>
</cp:coreProperties>
</file>